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34"/>
          <w:szCs w:val="34"/>
        </w:rPr>
      </w:pPr>
      <w:r>
        <w:rPr>
          <w:rFonts w:ascii="Times New Roman" w:hAnsi="Times New Roman"/>
          <w:b w:val="1"/>
          <w:bCs w:val="1"/>
          <w:sz w:val="26"/>
          <w:szCs w:val="26"/>
          <w:rtl w:val="0"/>
        </w:rPr>
        <w:t>COURSE SYLLABUS</w:t>
      </w:r>
      <w:r>
        <w:rPr>
          <w:rFonts w:ascii="Times New Roman" w:hAnsi="Times New Roman"/>
          <w:b w:val="1"/>
          <w:bCs w:val="1"/>
          <w:sz w:val="34"/>
          <w:szCs w:val="34"/>
          <w:rtl w:val="0"/>
          <w:lang w:val="en-US"/>
        </w:rPr>
        <w:t xml:space="preserve"> (DRAFT)</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6"/>
          <w:szCs w:val="26"/>
        </w:rPr>
      </w:pPr>
      <w:r>
        <w:rPr>
          <w:rFonts w:ascii="Times New Roman" w:hAnsi="Times New Roman"/>
          <w:b w:val="1"/>
          <w:bCs w:val="1"/>
          <w:sz w:val="26"/>
          <w:szCs w:val="26"/>
          <w:rtl w:val="0"/>
          <w:lang w:val="en-US"/>
        </w:rPr>
        <w:t>Women</w:t>
      </w:r>
      <w:r>
        <w:rPr>
          <w:rFonts w:ascii="Arial Unicode MS" w:hAnsi="Arial Unicode MS" w:hint="default"/>
          <w:sz w:val="26"/>
          <w:szCs w:val="26"/>
          <w:rtl w:val="1"/>
        </w:rPr>
        <w:t>’</w:t>
      </w:r>
      <w:r>
        <w:rPr>
          <w:rFonts w:ascii="Times New Roman" w:hAnsi="Times New Roman"/>
          <w:b w:val="1"/>
          <w:bCs w:val="1"/>
          <w:sz w:val="26"/>
          <w:szCs w:val="26"/>
          <w:rtl w:val="0"/>
          <w:lang w:val="en-US"/>
        </w:rPr>
        <w:t>s Voices in Ministry - Min 5322</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sz w:val="26"/>
          <w:szCs w:val="26"/>
        </w:rPr>
      </w:pPr>
      <w:r>
        <w:rPr>
          <w:rFonts w:ascii="Times New Roman" w:hAnsi="Times New Roman"/>
          <w:b w:val="1"/>
          <w:bCs w:val="1"/>
          <w:sz w:val="26"/>
          <w:szCs w:val="26"/>
          <w:rtl w:val="0"/>
          <w:lang w:val="en-US"/>
        </w:rPr>
        <w:t>Fall  2026 (3 Credit Course)</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cs="Times New Roman" w:hAnsi="Times New Roman" w:eastAsia="Times New Roman"/>
          <w:sz w:val="24"/>
          <w:szCs w:val="24"/>
        </w:rPr>
      </w:pPr>
      <w:r>
        <w:rPr>
          <w:rFonts w:ascii="Times New Roman" w:hAnsi="Times New Roman"/>
          <w:sz w:val="24"/>
          <w:szCs w:val="24"/>
          <w:rtl w:val="0"/>
          <w:lang w:val="de-DE"/>
        </w:rPr>
        <w:t>Instructor: Dr. Mika Deshotel</w:t>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None"/>
          <w:rFonts w:ascii="Times New Roman" w:cs="Times New Roman" w:hAnsi="Times New Roman" w:eastAsia="Times New Roman"/>
          <w:sz w:val="24"/>
          <w:szCs w:val="24"/>
        </w:rPr>
      </w:pPr>
      <w:r>
        <w:rPr>
          <w:rStyle w:val="Hyperlink.0"/>
        </w:rPr>
        <w:fldChar w:fldCharType="begin" w:fldLock="0"/>
      </w:r>
      <w:r>
        <w:rPr>
          <w:rStyle w:val="Hyperlink.0"/>
        </w:rPr>
        <w:instrText xml:space="preserve"> HYPERLINK "mailto:M.Deshotel@hji.edu"</w:instrText>
      </w:r>
      <w:r>
        <w:rPr>
          <w:rStyle w:val="Hyperlink.0"/>
        </w:rPr>
        <w:fldChar w:fldCharType="separate" w:fldLock="0"/>
      </w:r>
      <w:r>
        <w:rPr>
          <w:rStyle w:val="Hyperlink.0"/>
          <w:rtl w:val="0"/>
        </w:rPr>
        <w:t>M.Deshotel@hji.edu</w:t>
      </w:r>
      <w:r>
        <w:rPr/>
        <w:fldChar w:fldCharType="end" w:fldLock="0"/>
      </w:r>
    </w:p>
    <w:p>
      <w:pPr>
        <w:pStyle w:val="Body A"/>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Style w:val="None"/>
          <w:rFonts w:ascii="Times New Roman" w:cs="Times New Roman" w:hAnsi="Times New Roman" w:eastAsia="Times New Roman"/>
          <w:sz w:val="24"/>
          <w:szCs w:val="24"/>
        </w:rPr>
      </w:pPr>
      <w:r>
        <w:rPr>
          <w:rStyle w:val="None"/>
          <w:rFonts w:ascii="Times New Roman" w:hAnsi="Times New Roman"/>
          <w:sz w:val="24"/>
          <w:szCs w:val="24"/>
          <w:rtl w:val="0"/>
          <w:lang w:val="en-US"/>
        </w:rPr>
        <w:t>Office Hours Upon Request</w:t>
      </w:r>
    </w:p>
    <w:p>
      <w:pPr>
        <w:pStyle w:val="Heading 2"/>
        <w:spacing w:before="200" w:after="120"/>
      </w:pPr>
      <w:r>
        <w:rPr>
          <w:rStyle w:val="None"/>
          <w:b w:val="1"/>
          <w:bCs w:val="1"/>
          <w:rtl w:val="0"/>
          <w:lang w:val="en-US"/>
        </w:rPr>
        <w:t>DESCRIPTION:</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This course examines the value and contribution of women</w:t>
      </w:r>
      <w:r>
        <w:rPr>
          <w:rStyle w:val="None"/>
          <w:rFonts w:ascii="Arial Unicode MS" w:hAnsi="Arial Unicode MS" w:hint="default"/>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leadership within the Church and civil society at large. Despite misconceptions, historical women of faith have often answered the call to steward meaningful change and advancement for the good of all people, in all areas of life. Nevertheless, sexism, misogyny, and gender bias are concepts that have remained prevalent in society, harming both men and women in their destructive wake.</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How can men and women be empowered to emulate God</w:t>
      </w:r>
      <w:r>
        <w:rPr>
          <w:rStyle w:val="None"/>
          <w:rFonts w:ascii="Arial Unicode MS" w:hAnsi="Arial Unicode MS" w:hint="default"/>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harmonious masculine and feminine characteristics in their personal discipleship and public leadership? What are the unique challenges women face in particular, as they seek to answer a personal calling towards leadership? We will examine the historical arguments that have prompted a complementarian view of Biblical man and womanhood, along with the counter notion of the egalitarian view of mutuality between men and women. We will look at the effects of culture and theological beliefs around gender roles, and explore how men and women can partner together toward effective positive change. The course will also explore key themes from the core teachings of Rev. Sun Myung Moon and Dr. Hak Ja Han, which illuminate the important roles and contributions of each gender.</w:t>
      </w:r>
    </w:p>
    <w:p>
      <w:pPr>
        <w:pStyle w:val="Heading 2"/>
        <w:spacing w:before="200" w:after="120"/>
      </w:pPr>
      <w:r>
        <w:rPr>
          <w:rStyle w:val="None"/>
          <w:b w:val="1"/>
          <w:bCs w:val="1"/>
          <w:rtl w:val="0"/>
          <w:lang w:val="en-US"/>
        </w:rPr>
        <w:t>STUDENT LEARNING OUTCOMES:</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Recognize the importance of a woman</w:t>
      </w:r>
      <w:r>
        <w:rPr>
          <w:rStyle w:val="None"/>
          <w:rFonts w:ascii="Arial Unicode MS" w:hAnsi="Arial Unicode MS" w:hint="default"/>
          <w:sz w:val="24"/>
          <w:szCs w:val="24"/>
          <w:rtl w:val="0"/>
          <w:lang w:val="en-US"/>
        </w:rPr>
        <w:t>’</w:t>
      </w:r>
      <w:r>
        <w:rPr>
          <w:rStyle w:val="None"/>
          <w:sz w:val="24"/>
          <w:szCs w:val="24"/>
          <w:rtl w:val="0"/>
          <w:lang w:val="en-US"/>
        </w:rPr>
        <w:t>s contribution as a leader, her challenges, and the positive outcomes associated with mutual partnerships between men and women (Knowledge)</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Distinguish the differences behind historical theological views on women and women</w:t>
      </w:r>
      <w:r>
        <w:rPr>
          <w:rStyle w:val="None"/>
          <w:rFonts w:ascii="Arial Unicode MS" w:hAnsi="Arial Unicode MS" w:hint="default"/>
          <w:sz w:val="24"/>
          <w:szCs w:val="24"/>
          <w:rtl w:val="0"/>
          <w:lang w:val="en-US"/>
        </w:rPr>
        <w:t>’</w:t>
      </w:r>
      <w:r>
        <w:rPr>
          <w:rStyle w:val="None"/>
          <w:sz w:val="24"/>
          <w:szCs w:val="24"/>
          <w:rtl w:val="0"/>
          <w:lang w:val="en-US"/>
        </w:rPr>
        <w:t>s leadership (Comprehension)</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Illuminate limiting personal and social beliefs and practices that encourage sexism and gender stereotypes (Application)</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Identify healthy and empowering models and practices for flourishing partnerships between men and women (Synthesis)</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Evaluate practical steps to support the flourishing of women leaders within the church and broader society (Evaluation)</w:t>
      </w:r>
    </w:p>
    <w:p>
      <w:pPr>
        <w:pStyle w:val="Heading 2"/>
        <w:spacing w:before="200" w:after="120"/>
      </w:pPr>
      <w:r>
        <w:rPr>
          <w:rStyle w:val="None"/>
          <w:b w:val="1"/>
          <w:bCs w:val="1"/>
          <w:rtl w:val="0"/>
          <w:lang w:val="en-US"/>
        </w:rPr>
        <w:t>COURSE OBJECTIVES</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Address historical views on gender roles within the Church (Egalitarian/ Complementarian)</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Consider a Unification perspective on gender roles</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Get to know historical women trailblazers</w:t>
      </w:r>
      <w:r>
        <w:rPr>
          <w:rStyle w:val="None"/>
          <w:rFonts w:ascii="Arial Unicode MS" w:hAnsi="Arial Unicode MS" w:hint="default"/>
          <w:sz w:val="24"/>
          <w:szCs w:val="24"/>
          <w:rtl w:val="1"/>
          <w:lang w:val="ar-SA" w:bidi="ar-SA"/>
        </w:rPr>
        <w:t>– “</w:t>
      </w:r>
      <w:r>
        <w:rPr>
          <w:rStyle w:val="None"/>
          <w:sz w:val="24"/>
          <w:szCs w:val="24"/>
          <w:rtl w:val="0"/>
          <w:lang w:val="en-US"/>
        </w:rPr>
        <w:t>Ezer</w:t>
      </w:r>
      <w:r>
        <w:rPr>
          <w:rStyle w:val="None"/>
          <w:sz w:val="24"/>
          <w:szCs w:val="24"/>
          <w:rtl w:val="0"/>
          <w:lang w:val="en-US"/>
        </w:rPr>
        <w:t xml:space="preserve">” </w:t>
      </w:r>
      <w:r>
        <w:rPr>
          <w:rStyle w:val="None"/>
          <w:sz w:val="24"/>
          <w:szCs w:val="24"/>
          <w:rtl w:val="0"/>
          <w:lang w:val="en-US"/>
        </w:rPr>
        <w:t xml:space="preserve">women </w:t>
      </w:r>
      <w:r>
        <w:rPr>
          <w:rStyle w:val="None"/>
          <w:sz w:val="24"/>
          <w:szCs w:val="24"/>
          <w:rtl w:val="0"/>
          <w:lang w:val="en-US"/>
        </w:rPr>
        <w:t xml:space="preserve">– </w:t>
      </w:r>
      <w:r>
        <w:rPr>
          <w:rStyle w:val="None"/>
          <w:sz w:val="24"/>
          <w:szCs w:val="24"/>
          <w:rtl w:val="0"/>
          <w:lang w:val="en-US"/>
        </w:rPr>
        <w:t>And consider their commonalities along with their distinct strengths</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Explore the perspectives/ philosophies around women leaders within your own culture/ institution</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Paint a picture of what flourishing partnerships between men and women would look like and what it would mean for your church/ organization</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Learn how to empower women leaders within your organization/congregation</w:t>
      </w:r>
    </w:p>
    <w:p>
      <w:pPr>
        <w:pStyle w:val="Heading 2"/>
        <w:spacing w:before="200" w:after="120"/>
      </w:pPr>
    </w:p>
    <w:p>
      <w:pPr>
        <w:pStyle w:val="Heading 2"/>
        <w:spacing w:before="200" w:after="120"/>
      </w:pPr>
      <w:r>
        <w:rPr>
          <w:rStyle w:val="None"/>
          <w:b w:val="1"/>
          <w:bCs w:val="1"/>
          <w:rtl w:val="0"/>
          <w:lang w:val="en-US"/>
        </w:rPr>
        <w:t>REQUIRE</w:t>
      </w:r>
      <w:r>
        <w:rPr>
          <w:rStyle w:val="None"/>
          <w:b w:val="1"/>
          <w:bCs w:val="1"/>
          <w:rtl w:val="0"/>
          <w:lang w:val="en-US"/>
        </w:rPr>
        <w:t>D TEXTS:</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Moore, Carolyn. When Women Lead: Embrace your Authority, Move Beyond Barriers, and Find Joy in Leading Others. Zondervan, 2022. (ISBN 9780310129653)- Paperback $11.59</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Dzubinski, Leanne M. and Anneke H. Stasson. Women in the Mission of the Church: Their Opportunities and Obstacles Throughout Christian History. Baker Academic, 2021. (ISBN 9781493429189)- Paperback $19.50</w:t>
      </w:r>
    </w:p>
    <w:p>
      <w:pPr>
        <w:pStyle w:val="Heading 2"/>
        <w:spacing w:before="200" w:after="120"/>
        <w:rPr>
          <w:rStyle w:val="None"/>
          <w:sz w:val="24"/>
          <w:szCs w:val="24"/>
        </w:rPr>
      </w:pPr>
      <w:r>
        <w:rPr>
          <w:rStyle w:val="None"/>
          <w:outline w:val="0"/>
          <w:color w:val="000000"/>
          <w:sz w:val="24"/>
          <w:szCs w:val="24"/>
          <w:u w:color="000000"/>
          <w:rtl w:val="0"/>
          <w:lang w:val="de-DE"/>
          <w14:textFill>
            <w14:solidFill>
              <w14:srgbClr w14:val="000000"/>
            </w14:solidFill>
          </w14:textFill>
        </w:rPr>
        <w:t>Lederleitner, Mary T. Women in God</w:t>
      </w:r>
      <w:r>
        <w:rPr>
          <w:rStyle w:val="None"/>
          <w:rFonts w:ascii="Arial Unicode MS" w:hAnsi="Arial Unicode MS" w:hint="default"/>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Mission: Accepting the Invitation to Serve and Lead. InterVarsity Press, 2018. (ISBN 9780830845514)- Paperback $18.97</w:t>
      </w:r>
    </w:p>
    <w:p>
      <w:pPr>
        <w:pStyle w:val="Heading 2"/>
        <w:spacing w:before="200" w:after="120"/>
      </w:pPr>
      <w:r>
        <w:rPr>
          <w:rStyle w:val="None"/>
          <w:b w:val="1"/>
          <w:bCs w:val="1"/>
          <w:outline w:val="0"/>
          <w:color w:val="000000"/>
          <w:u w:color="000000"/>
          <w:rtl w:val="0"/>
          <w:lang w:val="en-US"/>
          <w14:textFill>
            <w14:solidFill>
              <w14:srgbClr w14:val="000000"/>
            </w14:solidFill>
          </w14:textFill>
        </w:rPr>
        <w:t>Additional Resources</w:t>
      </w:r>
    </w:p>
    <w:p>
      <w:pPr>
        <w:pStyle w:val="Heading 2"/>
        <w:spacing w:before="200" w:after="120"/>
        <w:rPr>
          <w:rStyle w:val="None"/>
          <w:sz w:val="24"/>
          <w:szCs w:val="24"/>
        </w:rPr>
      </w:pPr>
      <w:r>
        <w:rPr>
          <w:rStyle w:val="Hyperlink.1"/>
        </w:rPr>
        <w:fldChar w:fldCharType="begin" w:fldLock="0"/>
      </w:r>
      <w:r>
        <w:rPr>
          <w:rStyle w:val="Hyperlink.1"/>
        </w:rPr>
        <w:instrText xml:space="preserve"> HYPERLINK "https://www.cbeinternational.org"</w:instrText>
      </w:r>
      <w:r>
        <w:rPr>
          <w:rStyle w:val="Hyperlink.1"/>
        </w:rPr>
        <w:fldChar w:fldCharType="separate" w:fldLock="0"/>
      </w:r>
      <w:r>
        <w:rPr>
          <w:rStyle w:val="Hyperlink.1"/>
          <w:rtl w:val="0"/>
          <w:lang w:val="en-US"/>
        </w:rPr>
        <w:t>Christians for Biblical Equality (CBE International).</w:t>
      </w:r>
      <w:r>
        <w:rPr/>
        <w:fldChar w:fldCharType="end" w:fldLock="0"/>
      </w:r>
      <w:r>
        <w:rPr>
          <w:rStyle w:val="None"/>
          <w:sz w:val="24"/>
          <w:szCs w:val="24"/>
          <w:rtl w:val="0"/>
          <w:lang w:val="en-US"/>
        </w:rPr>
        <w:t xml:space="preserve"> </w:t>
      </w:r>
    </w:p>
    <w:p>
      <w:pPr>
        <w:pStyle w:val="Heading 2"/>
        <w:spacing w:before="200" w:after="120"/>
        <w:rPr>
          <w:rStyle w:val="None"/>
          <w:sz w:val="24"/>
          <w:szCs w:val="24"/>
        </w:rPr>
      </w:pPr>
      <w:r>
        <w:rPr>
          <w:rStyle w:val="Hyperlink.1"/>
        </w:rPr>
        <w:fldChar w:fldCharType="begin" w:fldLock="0"/>
      </w:r>
      <w:r>
        <w:rPr>
          <w:rStyle w:val="Hyperlink.1"/>
        </w:rPr>
        <w:instrText xml:space="preserve"> HYPERLINK "https://www.cbeinternational.org/primary_page/cbe-internationals-mutuality-matters-podcast/"</w:instrText>
      </w:r>
      <w:r>
        <w:rPr>
          <w:rStyle w:val="Hyperlink.1"/>
        </w:rPr>
        <w:fldChar w:fldCharType="separate" w:fldLock="0"/>
      </w:r>
      <w:r>
        <w:rPr>
          <w:rStyle w:val="Hyperlink.1"/>
          <w:rtl w:val="0"/>
          <w:lang w:val="en-US"/>
        </w:rPr>
        <w:t>https://www.cbeinternational.org/primary_page/cbe-internationals-mutuality-matters-podcast/</w:t>
      </w:r>
      <w:r>
        <w:rPr/>
        <w:fldChar w:fldCharType="end" w:fldLock="0"/>
      </w:r>
    </w:p>
    <w:p>
      <w:pPr>
        <w:pStyle w:val="Heading 2"/>
        <w:spacing w:before="200" w:after="120"/>
        <w:rPr>
          <w:rStyle w:val="None"/>
          <w:sz w:val="24"/>
          <w:szCs w:val="24"/>
        </w:rPr>
      </w:pPr>
      <w:r>
        <w:rPr>
          <w:rStyle w:val="None"/>
          <w:rFonts w:ascii="Arial Unicode MS" w:hAnsi="Arial Unicode MS" w:hint="default"/>
          <w:outline w:val="0"/>
          <w:color w:val="000000"/>
          <w:sz w:val="24"/>
          <w:szCs w:val="24"/>
          <w:u w:color="000000"/>
          <w:rtl w:val="1"/>
          <w:lang w:val="ar-SA" w:bidi="ar-SA"/>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Hear Women.</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Podcast. Hosted by Dorina Lazo Gilmore-Young, Tara Beth Leach, and Nijay K. Gupta. InterVarsity Press.</w:t>
      </w:r>
    </w:p>
    <w:p>
      <w:pPr>
        <w:pStyle w:val="Heading 2"/>
        <w:spacing w:before="200" w:after="120"/>
        <w:rPr>
          <w:rStyle w:val="None"/>
          <w:sz w:val="24"/>
          <w:szCs w:val="24"/>
        </w:rPr>
      </w:pPr>
      <w:r>
        <w:rPr>
          <w:rStyle w:val="Hyperlink.1"/>
        </w:rPr>
        <w:fldChar w:fldCharType="begin" w:fldLock="0"/>
      </w:r>
      <w:r>
        <w:rPr>
          <w:rStyle w:val="Hyperlink.1"/>
        </w:rPr>
        <w:instrText xml:space="preserve"> HYPERLINK "https://www.ivpress.com/hear-women-podcast"</w:instrText>
      </w:r>
      <w:r>
        <w:rPr>
          <w:rStyle w:val="Hyperlink.1"/>
        </w:rPr>
        <w:fldChar w:fldCharType="separate" w:fldLock="0"/>
      </w:r>
      <w:r>
        <w:rPr>
          <w:rStyle w:val="Hyperlink.1"/>
          <w:rtl w:val="0"/>
          <w:lang w:val="en-US"/>
        </w:rPr>
        <w:t>https://www.ivpress.com/hear-women-podcast</w:t>
      </w:r>
      <w:r>
        <w:rPr/>
        <w:fldChar w:fldCharType="end" w:fldLock="0"/>
      </w:r>
    </w:p>
    <w:p>
      <w:pPr>
        <w:pStyle w:val="Heading 2"/>
        <w:spacing w:before="200" w:after="120"/>
        <w:rPr>
          <w:rStyle w:val="None"/>
          <w:sz w:val="24"/>
          <w:szCs w:val="24"/>
        </w:rPr>
      </w:pPr>
    </w:p>
    <w:p>
      <w:pPr>
        <w:pStyle w:val="Heading 2"/>
        <w:spacing w:before="200" w:after="120"/>
      </w:pPr>
      <w:r>
        <w:rPr>
          <w:rStyle w:val="None"/>
          <w:b w:val="1"/>
          <w:bCs w:val="1"/>
          <w:rtl w:val="0"/>
          <w:lang w:val="en-US"/>
        </w:rPr>
        <w:t>COURSE R</w:t>
      </w:r>
      <w:r>
        <w:rPr>
          <w:rStyle w:val="None"/>
          <w:b w:val="1"/>
          <w:bCs w:val="1"/>
          <w:rtl w:val="0"/>
          <w:lang w:val="en-US"/>
        </w:rPr>
        <w:t>E</w:t>
      </w:r>
      <w:r>
        <w:rPr>
          <w:rStyle w:val="None"/>
          <w:b w:val="1"/>
          <w:bCs w:val="1"/>
          <w:rtl w:val="0"/>
          <w:lang w:val="en-US"/>
        </w:rPr>
        <w:t>QUIREMENT</w:t>
      </w:r>
      <w:r>
        <w:rPr>
          <w:rStyle w:val="None"/>
          <w:b w:val="1"/>
          <w:bCs w:val="1"/>
          <w:rtl w:val="0"/>
          <w:lang w:val="en-US"/>
        </w:rPr>
        <w:t>S:</w:t>
      </w:r>
    </w:p>
    <w:p>
      <w:pPr>
        <w:pStyle w:val="Heading 2"/>
        <w:spacing w:before="200" w:after="120"/>
      </w:pPr>
      <w:r>
        <w:rPr>
          <w:rStyle w:val="None"/>
          <w:b w:val="1"/>
          <w:bCs w:val="1"/>
          <w:outline w:val="0"/>
          <w:color w:val="000000"/>
          <w:u w:color="000000"/>
          <w:rtl w:val="0"/>
          <w:lang w:val="en-US"/>
          <w14:textFill>
            <w14:solidFill>
              <w14:srgbClr w14:val="000000"/>
            </w14:solidFill>
          </w14:textFill>
        </w:rPr>
        <w:t>Weekly Assignments</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This course will be featured on Canvas with pre-recorded presentations on a given topic and/or assigned reading/ videos/ website resources to support the main topic or theme for the week (making up about 1.5 hours). Every module will cover a different topic or theme and a reflection assignment will be required as part of the completion of the module. Course material will need to be watched/ read/ reviewed, and reflections will need to be submitted by Tuesday evening (11:50PM ET). New content will be available by Wednesday (morning), so students have about 6 days to review and respond to it. Our class time will involve a peer-led reflection on the main topic from the past week, which includes guided discussion questions (teacher assisted). The second half of the class will include a case study/ video/ or other presentation by the instructor, followed by class discussion (potentially in breakouts).</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Review/ read/ watch weekly posted videos, text assignments/ articles- Weekly uploads of assignments will be available on Canvas every Wednesday, beginning August 26th</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Written reflections based on uploaded content- Personal reflections based on the week</w:t>
      </w:r>
      <w:r>
        <w:rPr>
          <w:rStyle w:val="None"/>
          <w:rFonts w:ascii="Arial Unicode MS" w:hAnsi="Arial Unicode MS" w:hint="default"/>
          <w:sz w:val="24"/>
          <w:szCs w:val="24"/>
          <w:rtl w:val="0"/>
          <w:lang w:val="en-US"/>
        </w:rPr>
        <w:t>’</w:t>
      </w:r>
      <w:r>
        <w:rPr>
          <w:rStyle w:val="None"/>
          <w:sz w:val="24"/>
          <w:szCs w:val="24"/>
          <w:rtl w:val="0"/>
          <w:lang w:val="en-US"/>
        </w:rPr>
        <w:t>s topic and content are due by Tuesday evening (11:59PM ET). Reflections should be a minimum of 500 words, max 750</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Attend classes each week via Zoom (Weds, 4-5:20PM ET)- Our class time will usually include a peer-led reflection/discussion, followed by an introduction to the theme/topic for the coming week by the instructor. Students are expected to arrive on-time to each class, free from distractions, with cameras on. Students who miss class are expected to follow up with the instructor, watch the video recording of the class, and write a 500- 750 page reflection of the major themes covered during the class</w:t>
      </w:r>
    </w:p>
    <w:p>
      <w:pPr>
        <w:pStyle w:val="List Paragraph"/>
        <w:spacing w:after="100"/>
      </w:pPr>
    </w:p>
    <w:p>
      <w:pPr>
        <w:pStyle w:val="List Paragraph"/>
        <w:spacing w:after="100"/>
        <w:rPr>
          <w:rStyle w:val="None"/>
          <w:sz w:val="26"/>
          <w:szCs w:val="26"/>
        </w:rPr>
      </w:pPr>
      <w:r>
        <w:rPr>
          <w:rStyle w:val="None"/>
          <w:b w:val="1"/>
          <w:bCs w:val="1"/>
          <w:sz w:val="26"/>
          <w:szCs w:val="26"/>
          <w:rtl w:val="0"/>
          <w:lang w:val="en-US"/>
        </w:rPr>
        <w:t>Book Review</w:t>
      </w:r>
    </w:p>
    <w:p>
      <w:pPr>
        <w:pStyle w:val="List Paragraph"/>
        <w:spacing w:after="100"/>
        <w:rPr>
          <w:rStyle w:val="None"/>
          <w:sz w:val="24"/>
          <w:szCs w:val="24"/>
        </w:rPr>
      </w:pPr>
      <w:r>
        <w:rPr>
          <w:rStyle w:val="None"/>
          <w:sz w:val="24"/>
          <w:szCs w:val="24"/>
          <w:rtl w:val="0"/>
          <w:lang w:val="en-US"/>
        </w:rPr>
        <w:t>Students are required to write a book review, due by the end of September (roughly week 5/6 of the course). Students may choose ONE of the following books to review:</w:t>
      </w:r>
    </w:p>
    <w:p>
      <w:pPr>
        <w:pStyle w:val="List Paragraph"/>
        <w:spacing w:after="100"/>
        <w:rPr>
          <w:rStyle w:val="None"/>
          <w:sz w:val="24"/>
          <w:szCs w:val="24"/>
        </w:rPr>
      </w:pPr>
      <w:r>
        <w:rPr>
          <w:rStyle w:val="None"/>
          <w:sz w:val="24"/>
          <w:szCs w:val="24"/>
          <w:rtl w:val="0"/>
          <w:lang w:val="en-US"/>
        </w:rPr>
        <w:t>Greco, Dorothy Littell. For the Love of Women: Uprooting and Healing Misogyny in America. Zondervan, 2025. (ISBN 9780310166702)- Paperback $11.95</w:t>
      </w:r>
    </w:p>
    <w:p>
      <w:pPr>
        <w:pStyle w:val="List Paragraph"/>
        <w:spacing w:after="100"/>
        <w:rPr>
          <w:rStyle w:val="None"/>
          <w:sz w:val="24"/>
          <w:szCs w:val="24"/>
        </w:rPr>
      </w:pPr>
      <w:r>
        <w:rPr>
          <w:rStyle w:val="None"/>
          <w:sz w:val="24"/>
          <w:szCs w:val="24"/>
          <w:rtl w:val="0"/>
          <w:lang w:val="en-US"/>
        </w:rPr>
        <w:t>Matthews, Heather. Confronting Sexism in the Church: How We Got Here and What We Can Do About It. InterVarsity Press, 2024. (ISBN 9781514008188) - Paperback $8.75</w:t>
      </w:r>
    </w:p>
    <w:p>
      <w:pPr>
        <w:pStyle w:val="List Paragraph"/>
        <w:spacing w:after="100"/>
        <w:rPr>
          <w:rStyle w:val="None"/>
          <w:sz w:val="24"/>
          <w:szCs w:val="24"/>
        </w:rPr>
      </w:pPr>
      <w:r>
        <w:rPr>
          <w:rStyle w:val="None"/>
          <w:sz w:val="24"/>
          <w:szCs w:val="24"/>
          <w:rtl w:val="0"/>
          <w:lang w:val="en-US"/>
        </w:rPr>
        <w:t>Assignment: Read through one of the above texts and write a 3- page (~750- 900 words) review addressing each of the following points: 1) core themes, 2) passages or quotes of particular interest to the reader, and why they stand out, and 3) address how this quote supports or challenges the notions of your faith or personal perspectives you have around the treatment of women and women in leadership.</w:t>
      </w:r>
    </w:p>
    <w:p>
      <w:pPr>
        <w:pStyle w:val="List Paragraph"/>
        <w:spacing w:after="100"/>
        <w:rPr>
          <w:rStyle w:val="None"/>
          <w:sz w:val="26"/>
          <w:szCs w:val="26"/>
        </w:rPr>
      </w:pPr>
    </w:p>
    <w:p>
      <w:pPr>
        <w:pStyle w:val="List Paragraph"/>
        <w:spacing w:after="100"/>
        <w:rPr>
          <w:rStyle w:val="None"/>
          <w:sz w:val="26"/>
          <w:szCs w:val="26"/>
        </w:rPr>
      </w:pPr>
      <w:r>
        <w:rPr>
          <w:rStyle w:val="None"/>
          <w:b w:val="1"/>
          <w:bCs w:val="1"/>
          <w:sz w:val="26"/>
          <w:szCs w:val="26"/>
          <w:rtl w:val="0"/>
          <w:lang w:val="en-US"/>
        </w:rPr>
        <w:t>Interview</w:t>
      </w:r>
    </w:p>
    <w:p>
      <w:pPr>
        <w:pStyle w:val="List Paragraph"/>
        <w:spacing w:after="100"/>
        <w:rPr>
          <w:rStyle w:val="None"/>
          <w:sz w:val="24"/>
          <w:szCs w:val="24"/>
        </w:rPr>
      </w:pPr>
      <w:r>
        <w:rPr>
          <w:rStyle w:val="None"/>
          <w:sz w:val="24"/>
          <w:szCs w:val="24"/>
          <w:rtl w:val="0"/>
          <w:lang w:val="en-US"/>
        </w:rPr>
        <w:t>Students will interview a woman leader who serves in a position of leadership or serves in a role similar to those they aspire to. Rough interview notes and transcriptions are required, along with a 2-page reflection of the interaction and 5-7 minute powerpoint presentation, presented towards the end of the semester. More detailed guidance will be provided closer to the assignment date</w:t>
      </w:r>
    </w:p>
    <w:p>
      <w:pPr>
        <w:pStyle w:val="List Paragraph"/>
        <w:spacing w:after="100"/>
        <w:rPr>
          <w:rStyle w:val="None"/>
          <w:sz w:val="26"/>
          <w:szCs w:val="26"/>
        </w:rPr>
      </w:pPr>
    </w:p>
    <w:p>
      <w:pPr>
        <w:pStyle w:val="List Paragraph"/>
        <w:spacing w:after="100"/>
        <w:rPr>
          <w:rStyle w:val="None"/>
          <w:sz w:val="26"/>
          <w:szCs w:val="26"/>
          <w:lang w:val="pt-PT"/>
        </w:rPr>
      </w:pPr>
      <w:r>
        <w:rPr>
          <w:rStyle w:val="None"/>
          <w:b w:val="1"/>
          <w:bCs w:val="1"/>
          <w:sz w:val="26"/>
          <w:szCs w:val="26"/>
          <w:rtl w:val="0"/>
          <w:lang w:val="pt-PT"/>
        </w:rPr>
        <w:t>Final Project/ Paper</w:t>
      </w:r>
    </w:p>
    <w:p>
      <w:pPr>
        <w:pStyle w:val="List Paragraph"/>
        <w:spacing w:after="100"/>
        <w:rPr>
          <w:rStyle w:val="None"/>
          <w:sz w:val="24"/>
          <w:szCs w:val="24"/>
        </w:rPr>
      </w:pPr>
      <w:r>
        <w:rPr>
          <w:rStyle w:val="None"/>
          <w:sz w:val="24"/>
          <w:szCs w:val="24"/>
          <w:rtl w:val="0"/>
          <w:lang w:val="en-US"/>
        </w:rPr>
        <w:t>Students may choose between writing an Integrated Essay OR a Research Paper as their final assignment for the course</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Integrated Essay (Adapted from a Women in Ministry syllabus taught by Stacy Minger)- Write a 6-7 page integrative essay, presented in the form of a letter, to someone within your church or organization who may be unaware of the historical, sociological, and theological issues around women</w:t>
      </w:r>
      <w:r>
        <w:rPr>
          <w:rStyle w:val="None"/>
          <w:rFonts w:ascii="Arial Unicode MS" w:hAnsi="Arial Unicode MS" w:hint="default"/>
          <w:sz w:val="24"/>
          <w:szCs w:val="24"/>
          <w:rtl w:val="0"/>
          <w:lang w:val="en-US"/>
        </w:rPr>
        <w:t>’</w:t>
      </w:r>
      <w:r>
        <w:rPr>
          <w:rStyle w:val="None"/>
          <w:sz w:val="24"/>
          <w:szCs w:val="24"/>
          <w:rtl w:val="0"/>
          <w:lang w:val="en-US"/>
        </w:rPr>
        <w:t>s leadership, their strengths and their challenges. This could be someone who serves as a colleague and friend, or someone who may be in a role of influence over the culture and practices of your church/ organization. This essay/ letter should include aspects of your own personal journey, while being rooted in a strong academic foundation, based on the topics and themes covered in this class. It may help to address a specific issue in your letter, and offer a proposal for improvement. Essay/letters will need to include a Works Cited page as well</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Research Paper - A 12-15 page (double-spaced) research paper may be written based on a topic of choice as it relates to any of the themes covered in the course. This assignment allows for exploration of an area of interest around gender, historical women of the Bible or Church history, current issues facing women in ministry, the issue of women</w:t>
      </w:r>
      <w:r>
        <w:rPr>
          <w:rStyle w:val="None"/>
          <w:rFonts w:ascii="Arial Unicode MS" w:hAnsi="Arial Unicode MS" w:hint="default"/>
          <w:sz w:val="24"/>
          <w:szCs w:val="24"/>
          <w:rtl w:val="0"/>
          <w:lang w:val="en-US"/>
        </w:rPr>
        <w:t>’</w:t>
      </w:r>
      <w:r>
        <w:rPr>
          <w:rStyle w:val="None"/>
          <w:sz w:val="24"/>
          <w:szCs w:val="24"/>
          <w:rtl w:val="0"/>
          <w:lang w:val="en-US"/>
        </w:rPr>
        <w:t>s leadership within your personal faith tradition, etc. This research paper should demonstrate thoughtful reflection and analysis of the selected subject matter. Topics must be approved by the instructor before writing or research is conducted.</w:t>
      </w:r>
    </w:p>
    <w:p>
      <w:pPr>
        <w:pStyle w:val="Heading 2"/>
        <w:spacing w:before="200" w:after="120"/>
      </w:pPr>
    </w:p>
    <w:p>
      <w:pPr>
        <w:pStyle w:val="Heading 2"/>
        <w:spacing w:before="200" w:after="120"/>
      </w:pPr>
      <w:r>
        <w:rPr>
          <w:rStyle w:val="None"/>
          <w:b w:val="1"/>
          <w:bCs w:val="1"/>
          <w:rtl w:val="0"/>
          <w:lang w:val="en-US"/>
        </w:rPr>
        <w:t>METHODS OF EVALUATION</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Weekly written reflections (min. 500 words, max 750) 20%</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Weekly class attendance via Zoom 15%</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Book Review 15%</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Interview with a woman leader, written reflection, and presentation 25%</w:t>
      </w:r>
    </w:p>
    <w:p>
      <w:pPr>
        <w:pStyle w:val="List Paragraph"/>
        <w:numPr>
          <w:ilvl w:val="0"/>
          <w:numId w:val="2"/>
        </w:numPr>
        <w:bidi w:val="0"/>
        <w:spacing w:after="100"/>
        <w:ind w:right="0"/>
        <w:jc w:val="left"/>
        <w:rPr>
          <w:sz w:val="24"/>
          <w:szCs w:val="24"/>
          <w:rtl w:val="0"/>
          <w:lang w:val="en-US"/>
        </w:rPr>
      </w:pPr>
      <w:r>
        <w:rPr>
          <w:rStyle w:val="None"/>
          <w:sz w:val="24"/>
          <w:szCs w:val="24"/>
          <w:rtl w:val="0"/>
          <w:lang w:val="en-US"/>
        </w:rPr>
        <w:t>Final integrative essay OR final research paper 25%</w:t>
      </w:r>
    </w:p>
    <w:p>
      <w:pPr>
        <w:pStyle w:val="Heading 2"/>
        <w:spacing w:before="200" w:after="120"/>
      </w:pPr>
    </w:p>
    <w:p>
      <w:pPr>
        <w:pStyle w:val="Heading 2"/>
        <w:spacing w:before="200" w:after="120"/>
      </w:pPr>
      <w:r>
        <w:rPr>
          <w:rStyle w:val="None"/>
          <w:b w:val="1"/>
          <w:bCs w:val="1"/>
          <w:rtl w:val="0"/>
          <w:lang w:val="en-US"/>
        </w:rPr>
        <w:t>SCHEDULE of Weekly Topics*:</w:t>
      </w:r>
    </w:p>
    <w:p>
      <w:pPr>
        <w:pStyle w:val="Heading 2"/>
        <w:spacing w:before="200" w:after="120"/>
      </w:pPr>
      <w:r>
        <w:rPr>
          <w:rStyle w:val="None"/>
          <w:outline w:val="0"/>
          <w:color w:val="000000"/>
          <w:u w:color="000000"/>
          <w:rtl w:val="0"/>
          <w:lang w:val="en-US"/>
          <w14:textFill>
            <w14:solidFill>
              <w14:srgbClr w14:val="000000"/>
            </w14:solidFill>
          </w14:textFill>
        </w:rPr>
        <w:t>* This is a basic content outline. Specific readings and/or videos will be clarified on Canvas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w:t>
      </w:r>
      <w:r>
        <w:rPr>
          <w:rStyle w:val="None"/>
          <w:outline w:val="0"/>
          <w:color w:val="000000"/>
          <w:u w:color="000000"/>
          <w:rtl w:val="0"/>
          <w:lang w:val="en-US"/>
          <w14:textFill>
            <w14:solidFill>
              <w14:srgbClr w14:val="000000"/>
            </w14:solidFill>
          </w14:textFill>
        </w:rPr>
        <w:tab/>
        <w:tab/>
        <w:t xml:space="preserve">   </w:t>
        <w:tab/>
        <w:t xml:space="preserve">Introduction to the course, course text and key terms; discussion of </w:t>
        <w:tab/>
        <w:tab/>
        <w:t>syllabus and Assignments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2</w:t>
        <w:tab/>
      </w:r>
      <w:r>
        <w:rPr>
          <w:rStyle w:val="None"/>
          <w:outline w:val="0"/>
          <w:color w:val="000000"/>
          <w:u w:color="000000"/>
          <w:rtl w:val="0"/>
          <w:lang w:val="en-US"/>
          <w14:textFill>
            <w14:solidFill>
              <w14:srgbClr w14:val="000000"/>
            </w14:solidFill>
          </w14:textFill>
        </w:rPr>
        <w:t xml:space="preserve">   </w:t>
      </w:r>
      <w:r>
        <w:rPr>
          <w:rStyle w:val="None"/>
          <w:rFonts w:ascii="Arial Unicode MS" w:hAnsi="Arial Unicode MS" w:hint="default"/>
          <w:outline w:val="0"/>
          <w:color w:val="000000"/>
          <w:u w:color="000000"/>
          <w:rtl w:val="1"/>
          <w:lang w:val="ar-SA" w:bidi="ar-SA"/>
          <w14:textFill>
            <w14:solidFill>
              <w14:srgbClr w14:val="000000"/>
            </w14:solidFill>
          </w14:textFill>
        </w:rPr>
        <w:t>“</w:t>
      </w:r>
      <w:r>
        <w:rPr>
          <w:rStyle w:val="None"/>
          <w:outline w:val="0"/>
          <w:color w:val="000000"/>
          <w:u w:color="000000"/>
          <w:rtl w:val="0"/>
          <w:lang w:val="en-US"/>
          <w14:textFill>
            <w14:solidFill>
              <w14:srgbClr w14:val="000000"/>
            </w14:solidFill>
          </w14:textFill>
        </w:rPr>
        <w:t>In the Beginning</w:t>
      </w:r>
      <w:r>
        <w:rPr>
          <w:rStyle w:val="None"/>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 Exploring the Origin Chapters in Genesis and God</w:t>
      </w:r>
      <w:r>
        <w:rPr>
          <w:rStyle w:val="None"/>
          <w:rFonts w:ascii="Arial Unicode MS" w:hAnsi="Arial Unicode MS" w:hint="default"/>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vision for Men and Women</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3</w:t>
        <w:tab/>
      </w:r>
      <w:r>
        <w:rPr>
          <w:rStyle w:val="None"/>
          <w:outline w:val="0"/>
          <w:color w:val="000000"/>
          <w:u w:color="000000"/>
          <w:rtl w:val="0"/>
          <w:lang w:val="en-US"/>
          <w14:textFill>
            <w14:solidFill>
              <w14:srgbClr w14:val="000000"/>
            </w14:solidFill>
          </w14:textFill>
        </w:rPr>
        <w:t xml:space="preserve">   Male/ Female differences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4</w:t>
      </w:r>
      <w:r>
        <w:rPr>
          <w:rStyle w:val="None"/>
          <w:outline w:val="0"/>
          <w:color w:val="000000"/>
          <w:u w:color="000000"/>
          <w:rtl w:val="0"/>
          <w:lang w:val="en-US"/>
          <w14:textFill>
            <w14:solidFill>
              <w14:srgbClr w14:val="000000"/>
            </w14:solidFill>
          </w14:textFill>
        </w:rPr>
        <w:t xml:space="preserve">   </w:t>
        <w:tab/>
        <w:t>Male/Female roles (Egalitarian versus Complementarian views)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5</w:t>
        <w:tab/>
      </w:r>
      <w:r>
        <w:rPr>
          <w:rStyle w:val="None"/>
          <w:outline w:val="0"/>
          <w:color w:val="000000"/>
          <w:u w:color="000000"/>
          <w:rtl w:val="0"/>
          <w:lang w:val="en-US"/>
          <w14:textFill>
            <w14:solidFill>
              <w14:srgbClr w14:val="000000"/>
            </w14:solidFill>
          </w14:textFill>
        </w:rPr>
        <w:t xml:space="preserve">   Ezer women in Old Testament</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6</w:t>
        <w:tab/>
      </w:r>
      <w:r>
        <w:rPr>
          <w:rStyle w:val="None"/>
          <w:outline w:val="0"/>
          <w:color w:val="000000"/>
          <w:u w:color="000000"/>
          <w:rtl w:val="0"/>
          <w:lang w:val="en-US"/>
          <w14:textFill>
            <w14:solidFill>
              <w14:srgbClr w14:val="000000"/>
            </w14:solidFill>
          </w14:textFill>
        </w:rPr>
        <w:t xml:space="preserve">   Ezer women in NT</w:t>
      </w:r>
    </w:p>
    <w:p>
      <w:pPr>
        <w:pStyle w:val="Heading 2"/>
        <w:spacing w:before="200" w:after="120"/>
        <w:ind w:left="720" w:firstLine="0"/>
      </w:pPr>
      <w:r>
        <w:rPr>
          <w:rStyle w:val="None"/>
          <w:outline w:val="0"/>
          <w:color w:val="000000"/>
          <w:u w:color="000000"/>
          <w:rtl w:val="0"/>
          <w:lang w:val="en-US"/>
          <w14:textFill>
            <w14:solidFill>
              <w14:srgbClr w14:val="000000"/>
            </w14:solidFill>
          </w14:textFill>
        </w:rPr>
        <w:t>Session 7</w:t>
        <w:tab/>
        <w:t xml:space="preserve">   Ezer women in Early Church</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8</w:t>
        <w:tab/>
      </w:r>
      <w:r>
        <w:rPr>
          <w:rStyle w:val="None"/>
          <w:outline w:val="0"/>
          <w:color w:val="000000"/>
          <w:u w:color="000000"/>
          <w:rtl w:val="0"/>
          <w:lang w:val="en-US"/>
          <w14:textFill>
            <w14:solidFill>
              <w14:srgbClr w14:val="000000"/>
            </w14:solidFill>
          </w14:textFill>
        </w:rPr>
        <w:t xml:space="preserve">   Ezer women during Medieval age, Reformation, and beyond</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9</w:t>
      </w:r>
      <w:r>
        <w:rPr>
          <w:rStyle w:val="None"/>
          <w:outline w:val="0"/>
          <w:color w:val="000000"/>
          <w:u w:color="000000"/>
          <w:rtl w:val="0"/>
          <w:lang w:val="en-US"/>
          <w14:textFill>
            <w14:solidFill>
              <w14:srgbClr w14:val="000000"/>
            </w14:solidFill>
          </w14:textFill>
        </w:rPr>
        <w:t xml:space="preserve">   </w:t>
        <w:tab/>
        <w:t>Women</w:t>
      </w:r>
      <w:r>
        <w:rPr>
          <w:rStyle w:val="None"/>
          <w:rFonts w:ascii="Arial Unicode MS" w:hAnsi="Arial Unicode MS" w:hint="default"/>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leadership Topics - Challenges/ Barriers (leading authentically)</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10</w:t>
      </w:r>
      <w:r>
        <w:rPr>
          <w:rStyle w:val="None"/>
          <w:outline w:val="0"/>
          <w:color w:val="000000"/>
          <w:u w:color="000000"/>
          <w:rtl w:val="0"/>
          <w:lang w:val="en-US"/>
          <w14:textFill>
            <w14:solidFill>
              <w14:srgbClr w14:val="000000"/>
            </w14:solidFill>
          </w14:textFill>
        </w:rPr>
        <w:t xml:space="preserve">  </w:t>
        <w:tab/>
        <w:t>Developing one</w:t>
      </w:r>
      <w:r>
        <w:rPr>
          <w:rStyle w:val="None"/>
          <w:rFonts w:ascii="Arial Unicode MS" w:hAnsi="Arial Unicode MS" w:hint="default"/>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identity/ honing one</w:t>
      </w:r>
      <w:r>
        <w:rPr>
          <w:rStyle w:val="None"/>
          <w:rFonts w:ascii="Arial Unicode MS" w:hAnsi="Arial Unicode MS" w:hint="default"/>
          <w:outline w:val="0"/>
          <w:color w:val="000000"/>
          <w:u w:color="000000"/>
          <w:rtl w:val="0"/>
          <w:lang w:val="en-US"/>
          <w14:textFill>
            <w14:solidFill>
              <w14:srgbClr w14:val="000000"/>
            </w14:solidFill>
          </w14:textFill>
        </w:rPr>
        <w:t>’</w:t>
      </w:r>
      <w:r>
        <w:rPr>
          <w:rStyle w:val="None"/>
          <w:outline w:val="0"/>
          <w:color w:val="000000"/>
          <w:u w:color="000000"/>
          <w:rtl w:val="0"/>
          <w:lang w:val="en-US"/>
          <w14:textFill>
            <w14:solidFill>
              <w14:srgbClr w14:val="000000"/>
            </w14:solidFill>
          </w14:textFill>
        </w:rPr>
        <w:t>s calling</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11</w:t>
        <w:tab/>
      </w:r>
      <w:r>
        <w:rPr>
          <w:rStyle w:val="None"/>
          <w:outline w:val="0"/>
          <w:color w:val="000000"/>
          <w:u w:color="000000"/>
          <w:rtl w:val="0"/>
          <w:lang w:val="en-US"/>
          <w14:textFill>
            <w14:solidFill>
              <w14:srgbClr w14:val="000000"/>
            </w14:solidFill>
          </w14:textFill>
        </w:rPr>
        <w:t xml:space="preserve">  Healing and Overcoming Adversity</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12</w:t>
        <w:tab/>
      </w:r>
      <w:r>
        <w:rPr>
          <w:rStyle w:val="None"/>
          <w:outline w:val="0"/>
          <w:color w:val="000000"/>
          <w:u w:color="000000"/>
          <w:rtl w:val="0"/>
          <w:lang w:val="en-US"/>
          <w14:textFill>
            <w14:solidFill>
              <w14:srgbClr w14:val="000000"/>
            </w14:solidFill>
          </w14:textFill>
        </w:rPr>
        <w:t xml:space="preserve">  Dreaming true Partnerships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13</w:t>
        <w:tab/>
      </w:r>
      <w:r>
        <w:rPr>
          <w:rStyle w:val="None"/>
          <w:outline w:val="0"/>
          <w:color w:val="000000"/>
          <w:u w:color="000000"/>
          <w:rtl w:val="0"/>
          <w:lang w:val="en-US"/>
          <w14:textFill>
            <w14:solidFill>
              <w14:srgbClr w14:val="000000"/>
            </w14:solidFill>
          </w14:textFill>
        </w:rPr>
        <w:t xml:space="preserve">  Dreaming true Partnerships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14</w:t>
        <w:tab/>
      </w:r>
      <w:r>
        <w:rPr>
          <w:rStyle w:val="None"/>
          <w:outline w:val="0"/>
          <w:color w:val="000000"/>
          <w:u w:color="000000"/>
          <w:rtl w:val="0"/>
          <w:lang w:val="en-US"/>
          <w14:textFill>
            <w14:solidFill>
              <w14:srgbClr w14:val="000000"/>
            </w14:solidFill>
          </w14:textFill>
        </w:rPr>
        <w:t xml:space="preserve">  Interview Presentations</w:t>
      </w:r>
    </w:p>
    <w:p>
      <w:pPr>
        <w:pStyle w:val="Heading 2"/>
        <w:spacing w:before="200" w:after="120"/>
        <w:ind w:left="720" w:firstLine="0"/>
      </w:pPr>
      <w:r>
        <w:rPr>
          <w:rStyle w:val="None"/>
          <w:outline w:val="0"/>
          <w:color w:val="000000"/>
          <w:u w:color="000000"/>
          <w:rtl w:val="0"/>
          <w:lang w:val="fr-FR"/>
          <w14:textFill>
            <w14:solidFill>
              <w14:srgbClr w14:val="000000"/>
            </w14:solidFill>
          </w14:textFill>
        </w:rPr>
        <w:t>Session 15</w:t>
      </w:r>
      <w:r>
        <w:rPr>
          <w:rStyle w:val="None"/>
          <w:outline w:val="0"/>
          <w:color w:val="000000"/>
          <w:u w:color="000000"/>
          <w:rtl w:val="0"/>
          <w:lang w:val="en-US"/>
          <w14:textFill>
            <w14:solidFill>
              <w14:srgbClr w14:val="000000"/>
            </w14:solidFill>
          </w14:textFill>
        </w:rPr>
        <w:t xml:space="preserve">  </w:t>
        <w:tab/>
        <w:t>Interview Presentations</w:t>
      </w:r>
    </w:p>
    <w:p>
      <w:pPr>
        <w:pStyle w:val="Heading 2"/>
        <w:spacing w:before="200" w:after="120"/>
      </w:pPr>
    </w:p>
    <w:p>
      <w:pPr>
        <w:pStyle w:val="Heading 2"/>
        <w:spacing w:before="200" w:after="120"/>
      </w:pPr>
      <w:r>
        <w:rPr>
          <w:rStyle w:val="None"/>
          <w:b w:val="1"/>
          <w:bCs w:val="1"/>
          <w:rtl w:val="0"/>
          <w:lang w:val="en-US"/>
        </w:rPr>
        <w:t>Grading Rubric:</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In calculating the final grade for the course, letter grades for assignments are converted into the following numerical equivalents, and the total is then converted back to a letter grade:</w:t>
      </w:r>
    </w:p>
    <w:p>
      <w:pPr>
        <w:pStyle w:val="Heading 2"/>
        <w:spacing w:before="200" w:after="120"/>
        <w:rPr>
          <w:rStyle w:val="None"/>
          <w:sz w:val="24"/>
          <w:szCs w:val="24"/>
          <w:lang w:val="ru-RU"/>
        </w:rPr>
      </w:pPr>
      <w:r>
        <w:rPr>
          <w:rStyle w:val="None"/>
          <w:outline w:val="0"/>
          <w:color w:val="000000"/>
          <w:sz w:val="24"/>
          <w:szCs w:val="24"/>
          <w:u w:color="000000"/>
          <w:rtl w:val="0"/>
          <w:lang w:val="ru-RU"/>
          <w14:textFill>
            <w14:solidFill>
              <w14:srgbClr w14:val="000000"/>
            </w14:solidFill>
          </w14:textFill>
        </w:rPr>
        <w:t xml:space="preserve">A </w:t>
        <w:tab/>
        <w:t xml:space="preserve">97 </w:t>
        <w:tab/>
        <w:t xml:space="preserve">A- </w:t>
        <w:tab/>
        <w:t xml:space="preserve">91.5 </w:t>
        <w:tab/>
        <w:t xml:space="preserve">B+ </w:t>
        <w:tab/>
        <w:t>87</w:t>
      </w:r>
    </w:p>
    <w:p>
      <w:pPr>
        <w:pStyle w:val="Heading 2"/>
        <w:spacing w:before="200" w:after="120"/>
        <w:rPr>
          <w:rStyle w:val="None"/>
          <w:sz w:val="24"/>
          <w:szCs w:val="24"/>
          <w:lang w:val="de-DE"/>
        </w:rPr>
      </w:pPr>
      <w:r>
        <w:rPr>
          <w:rStyle w:val="None"/>
          <w:outline w:val="0"/>
          <w:color w:val="000000"/>
          <w:sz w:val="24"/>
          <w:szCs w:val="24"/>
          <w:u w:color="000000"/>
          <w:rtl w:val="0"/>
          <w:lang w:val="de-DE"/>
          <w14:textFill>
            <w14:solidFill>
              <w14:srgbClr w14:val="000000"/>
            </w14:solidFill>
          </w14:textFill>
        </w:rPr>
        <w:t xml:space="preserve">B </w:t>
        <w:tab/>
        <w:t xml:space="preserve">82 </w:t>
        <w:tab/>
        <w:t xml:space="preserve">B- </w:t>
        <w:tab/>
        <w:t xml:space="preserve">77 </w:t>
        <w:tab/>
        <w:t xml:space="preserve">C+ </w:t>
        <w:tab/>
        <w:t>72.5</w:t>
      </w:r>
    </w:p>
    <w:p>
      <w:pPr>
        <w:pStyle w:val="Heading 2"/>
        <w:spacing w:before="200" w:after="120"/>
        <w:rPr>
          <w:rStyle w:val="None"/>
          <w:sz w:val="24"/>
          <w:szCs w:val="24"/>
          <w:lang w:val="ru-RU"/>
        </w:rPr>
      </w:pPr>
      <w:r>
        <w:rPr>
          <w:rStyle w:val="None"/>
          <w:outline w:val="0"/>
          <w:color w:val="000000"/>
          <w:sz w:val="24"/>
          <w:szCs w:val="24"/>
          <w:u w:color="000000"/>
          <w:rtl w:val="0"/>
          <w:lang w:val="ru-RU"/>
          <w14:textFill>
            <w14:solidFill>
              <w14:srgbClr w14:val="000000"/>
            </w14:solidFill>
          </w14:textFill>
        </w:rPr>
        <w:t xml:space="preserve">C </w:t>
        <w:tab/>
        <w:t xml:space="preserve">67.5 </w:t>
        <w:tab/>
        <w:t xml:space="preserve">C- </w:t>
        <w:tab/>
        <w:t xml:space="preserve">62.5 </w:t>
        <w:tab/>
        <w:t xml:space="preserve">D+ </w:t>
        <w:tab/>
        <w:t>57.5</w:t>
      </w:r>
    </w:p>
    <w:p>
      <w:pPr>
        <w:pStyle w:val="Heading 2"/>
        <w:spacing w:before="200" w:after="120"/>
        <w:rPr>
          <w:rStyle w:val="None"/>
          <w:sz w:val="24"/>
          <w:szCs w:val="24"/>
          <w:lang w:val="da-DK"/>
        </w:rPr>
      </w:pPr>
      <w:r>
        <w:rPr>
          <w:rStyle w:val="None"/>
          <w:outline w:val="0"/>
          <w:color w:val="000000"/>
          <w:sz w:val="24"/>
          <w:szCs w:val="24"/>
          <w:u w:color="000000"/>
          <w:rtl w:val="0"/>
          <w:lang w:val="da-DK"/>
          <w14:textFill>
            <w14:solidFill>
              <w14:srgbClr w14:val="000000"/>
            </w14:solidFill>
          </w14:textFill>
        </w:rPr>
        <w:t xml:space="preserve">D </w:t>
        <w:tab/>
        <w:t xml:space="preserve">53 </w:t>
        <w:tab/>
        <w:t xml:space="preserve">D- </w:t>
        <w:tab/>
        <w:t xml:space="preserve">50 </w:t>
        <w:tab/>
        <w:t xml:space="preserve">F </w:t>
        <w:tab/>
        <w:t>0</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This scale severely penalizes Fs. Therefore, it is better to hand in a poorly done assignment than not to hand one in at all.</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In computing the cumulative grade point average (G.P.A.) the following quality point scale is used:</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 xml:space="preserve">A 4.00 </w:t>
        <w:tab/>
        <w:tab/>
        <w:t xml:space="preserve">A- 3.67 </w:t>
        <w:tab/>
        <w:t>B+ 3.33</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 xml:space="preserve">B 3.00 </w:t>
        <w:tab/>
        <w:tab/>
        <w:t xml:space="preserve">B- 2.67 </w:t>
        <w:tab/>
        <w:tab/>
        <w:t>C+ 2.33</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 xml:space="preserve">C 2.00 </w:t>
        <w:tab/>
        <w:tab/>
        <w:t xml:space="preserve">C- 1.67 </w:t>
        <w:tab/>
        <w:tab/>
        <w:t>D+ 1.33</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 xml:space="preserve">D 1.00 </w:t>
        <w:tab/>
        <w:tab/>
        <w:t xml:space="preserve">D- 0.67 </w:t>
        <w:tab/>
        <w:t>F 0.00</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Incompletes are given only when there are compelling medical or personal reasons.</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*See HJI catalog for a detailed grading policy.</w:t>
      </w:r>
    </w:p>
    <w:p>
      <w:pPr>
        <w:pStyle w:val="Heading 2"/>
        <w:spacing w:before="200" w:after="120"/>
        <w:rPr>
          <w:lang w:val="fr-FR"/>
        </w:rPr>
      </w:pPr>
      <w:r>
        <w:rPr>
          <w:rStyle w:val="None"/>
          <w:b w:val="1"/>
          <w:bCs w:val="1"/>
          <w:rtl w:val="0"/>
          <w:lang w:val="fr-FR"/>
        </w:rPr>
        <w:t>Netiquette</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When posting online or by email, you need to follow the same ethical standards and laws as you would in face-to-face communications. Your language should be respectful of faculty members and fellow students. Do not post private or confidential information about anyone, and do not provide personal information that could put yourself at risk. The Seminaries LMS has robust security measures to protect communication between teacher and student. Yet please be aware that anything that you post in discussions and groups in which other students participate can be retrieved by others and copied.</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Do not download and share course materials without permission of the instructor, as this may violate copyright. HJI reserves the right to delete postings on HJI maintained sites that are considered insensitive, harassing or illegal. Language that is illegal, obscene, defamatory, threatening, infringing of intellectual property rights, invasive of privacy, profane, libelous, threatening, harassing abusive, hateful or embarrassing to any person or entity, or otherwise, is a violation of the Student Code.</w:t>
      </w:r>
    </w:p>
    <w:p>
      <w:pPr>
        <w:pStyle w:val="Heading 2"/>
        <w:spacing w:before="200" w:after="120"/>
      </w:pPr>
      <w:r>
        <w:rPr>
          <w:rStyle w:val="None"/>
          <w:b w:val="1"/>
          <w:bCs w:val="1"/>
          <w:rtl w:val="0"/>
          <w:lang w:val="en-US"/>
        </w:rPr>
        <w:t>Academic Integrity</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 xml:space="preserve">It is the college policy that </w:t>
      </w:r>
      <w:r>
        <w:rPr>
          <w:rStyle w:val="None"/>
          <w:rFonts w:ascii="Arial Unicode MS" w:hAnsi="Arial Unicode MS" w:hint="default"/>
          <w:outline w:val="0"/>
          <w:color w:val="000000"/>
          <w:sz w:val="24"/>
          <w:szCs w:val="24"/>
          <w:u w:color="000000"/>
          <w:rtl w:val="1"/>
          <w:lang w:val="ar-SA" w:bidi="ar-SA"/>
          <w14:textFill>
            <w14:solidFill>
              <w14:srgbClr w14:val="000000"/>
            </w14:solidFill>
          </w14:textFill>
        </w:rPr>
        <w:t>“</w:t>
      </w:r>
      <w:r>
        <w:rPr>
          <w:rStyle w:val="None"/>
          <w:outline w:val="0"/>
          <w:color w:val="000000"/>
          <w:sz w:val="24"/>
          <w:szCs w:val="24"/>
          <w:u w:color="000000"/>
          <w:rtl w:val="0"/>
          <w:lang w:val="de-DE"/>
          <w14:textFill>
            <w14:solidFill>
              <w14:srgbClr w14:val="000000"/>
            </w14:solidFill>
          </w14:textFill>
        </w:rPr>
        <w:t>Each student</w:t>
      </w:r>
      <w:r>
        <w:rPr>
          <w:rStyle w:val="None"/>
          <w:rFonts w:ascii="Arial Unicode MS" w:hAnsi="Arial Unicode MS" w:hint="default"/>
          <w:outline w:val="0"/>
          <w:color w:val="000000"/>
          <w:sz w:val="24"/>
          <w:szCs w:val="24"/>
          <w:u w:color="000000"/>
          <w:rtl w:val="0"/>
          <w:lang w:val="en-US"/>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s work shall be the product of his or her own effort. Plagiarism and other acts of academic dishonesty are serious violations of academic integrity. The penalty for a violation of this nature is suspension or dismissal.</w:t>
      </w:r>
      <w:r>
        <w:rPr>
          <w:rStyle w:val="None"/>
          <w:outline w:val="0"/>
          <w:color w:val="000000"/>
          <w:sz w:val="24"/>
          <w:szCs w:val="24"/>
          <w:u w:color="000000"/>
          <w:rtl w:val="0"/>
          <w:lang w:val="en-US"/>
          <w14:textFill>
            <w14:solidFill>
              <w14:srgbClr w14:val="000000"/>
            </w14:solidFill>
          </w14:textFill>
        </w:rPr>
        <w:t>”</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 xml:space="preserve">Students will receive an </w:t>
      </w:r>
      <w:r>
        <w:rPr>
          <w:rStyle w:val="None"/>
          <w:rFonts w:ascii="Arial Unicode MS" w:hAnsi="Arial Unicode MS" w:hint="default"/>
          <w:outline w:val="0"/>
          <w:color w:val="000000"/>
          <w:sz w:val="24"/>
          <w:szCs w:val="24"/>
          <w:u w:color="000000"/>
          <w:rtl w:val="1"/>
          <w:lang w:val="ar-SA" w:bidi="ar-SA"/>
          <w14:textFill>
            <w14:solidFill>
              <w14:srgbClr w14:val="000000"/>
            </w14:solidFill>
          </w14:textFill>
        </w:rPr>
        <w:t>“</w:t>
      </w:r>
      <w:r>
        <w:rPr>
          <w:rStyle w:val="None"/>
          <w:outline w:val="0"/>
          <w:color w:val="000000"/>
          <w:sz w:val="24"/>
          <w:szCs w:val="24"/>
          <w:u w:color="000000"/>
          <w:rtl w:val="0"/>
          <w:lang w:val="en-US"/>
          <w14:textFill>
            <w14:solidFill>
              <w14:srgbClr w14:val="000000"/>
            </w14:solidFill>
          </w14:textFill>
        </w:rPr>
        <w:t>F</w:t>
      </w:r>
      <w:r>
        <w:rPr>
          <w:rStyle w:val="None"/>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grade for plagiarism or academic dishonesty. What constitutes plagiarism and how to avoid it will be explained at the first class meeting. Paraphrasing, citation, quotation, and other writing methods of writing will be introduced. Incident of plagiarism or other dishonesty will be reported to Academic Dean and penalized according to the college policy. All your works are checked by anti-plagiarism computer program.</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Use of generative artificial intelligence (AI) tools like ChatGPT in assignments is permitted only with prior permission of the instructor. If the instructor permits students to use AI for research, students should know that it may give false results and its facts need to be checked and verified. Any passages generated by AI must be given proper citation, just as for citing other authors</w:t>
      </w:r>
      <w:r>
        <w:rPr>
          <w:rStyle w:val="None"/>
          <w:rFonts w:ascii="Arial Unicode MS" w:hAnsi="Arial Unicode MS" w:hint="default"/>
          <w:outline w:val="0"/>
          <w:color w:val="000000"/>
          <w:sz w:val="24"/>
          <w:szCs w:val="24"/>
          <w:u w:color="000000"/>
          <w:rtl w:val="0"/>
          <w:lang w:val="en-US"/>
          <w14:textFill>
            <w14:solidFill>
              <w14:srgbClr w14:val="000000"/>
            </w14:solidFill>
          </w14:textFill>
        </w:rPr>
        <w:t xml:space="preserve">’ </w:t>
      </w:r>
      <w:r>
        <w:rPr>
          <w:rStyle w:val="None"/>
          <w:outline w:val="0"/>
          <w:color w:val="000000"/>
          <w:sz w:val="24"/>
          <w:szCs w:val="24"/>
          <w:u w:color="000000"/>
          <w:rtl w:val="0"/>
          <w:lang w:val="en-US"/>
          <w14:textFill>
            <w14:solidFill>
              <w14:srgbClr w14:val="000000"/>
            </w14:solidFill>
          </w14:textFill>
        </w:rPr>
        <w:t>works. In addition, students must append a paragraph at the end of their work explaining how and why they used ChatGPT, which includes what prompts were used and what measures were taken to verify its accuracy. Students may not use AI to produce the content for an assignment. If an AI tool is used without obtaining prior permission and/or without providing the required citation or explanation, it will be treated as plagiarism.</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Faculty reserve the right to use plagiarism detection software, such as Turnitin, to find instances of AI-generated writing, as well as plagiarism from other sources, in student assignments.</w:t>
      </w:r>
    </w:p>
    <w:p>
      <w:pPr>
        <w:pStyle w:val="Heading 2"/>
        <w:spacing w:before="200" w:after="120"/>
      </w:pPr>
      <w:r>
        <w:rPr>
          <w:rStyle w:val="None"/>
          <w:b w:val="1"/>
          <w:bCs w:val="1"/>
          <w:outline w:val="0"/>
          <w:color w:val="000000"/>
          <w:u w:color="000000"/>
          <w:rtl w:val="0"/>
          <w:lang w:val="en-US"/>
          <w14:textFill>
            <w14:solidFill>
              <w14:srgbClr w14:val="000000"/>
            </w14:solidFill>
          </w14:textFill>
        </w:rPr>
        <w:t>Women</w:t>
      </w:r>
      <w:r>
        <w:rPr>
          <w:rStyle w:val="None"/>
          <w:rFonts w:ascii="Arial Unicode MS" w:hAnsi="Arial Unicode MS" w:hint="default"/>
          <w:outline w:val="0"/>
          <w:color w:val="000000"/>
          <w:u w:color="000000"/>
          <w:rtl w:val="0"/>
          <w:lang w:val="en-US"/>
          <w14:textFill>
            <w14:solidFill>
              <w14:srgbClr w14:val="000000"/>
            </w14:solidFill>
          </w14:textFill>
        </w:rPr>
        <w:t>’</w:t>
      </w:r>
      <w:r>
        <w:rPr>
          <w:rStyle w:val="None"/>
          <w:b w:val="1"/>
          <w:bCs w:val="1"/>
          <w:outline w:val="0"/>
          <w:color w:val="000000"/>
          <w:u w:color="000000"/>
          <w:rtl w:val="0"/>
          <w:lang w:val="en-US"/>
          <w14:textFill>
            <w14:solidFill>
              <w14:srgbClr w14:val="000000"/>
            </w14:solidFill>
          </w14:textFill>
        </w:rPr>
        <w:t xml:space="preserve">s Voices in Ministry </w:t>
      </w:r>
      <w:r>
        <w:rPr>
          <w:rStyle w:val="None"/>
          <w:b w:val="1"/>
          <w:bCs w:val="1"/>
          <w:outline w:val="0"/>
          <w:color w:val="000000"/>
          <w:u w:color="000000"/>
          <w:rtl w:val="0"/>
          <w:lang w:val="en-US"/>
          <w14:textFill>
            <w14:solidFill>
              <w14:srgbClr w14:val="000000"/>
            </w14:solidFill>
          </w14:textFill>
        </w:rPr>
        <w:t xml:space="preserve">– </w:t>
      </w:r>
      <w:r>
        <w:rPr>
          <w:rStyle w:val="None"/>
          <w:b w:val="1"/>
          <w:bCs w:val="1"/>
          <w:outline w:val="0"/>
          <w:color w:val="000000"/>
          <w:u w:color="000000"/>
          <w:rtl w:val="0"/>
          <w:lang w:val="en-US"/>
          <w14:textFill>
            <w14:solidFill>
              <w14:srgbClr w14:val="000000"/>
            </w14:solidFill>
          </w14:textFill>
        </w:rPr>
        <w:t>Fall 2026   Course Learning Outcomes Rubric</w:t>
      </w:r>
    </w:p>
    <w:tbl>
      <w:tblPr>
        <w:tblW w:w="9350" w:type="dxa"/>
        <w:jc w:val="left"/>
        <w:tblInd w:w="216"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1741"/>
        <w:gridCol w:w="1357"/>
        <w:gridCol w:w="1448"/>
        <w:gridCol w:w="1469"/>
        <w:gridCol w:w="1593"/>
        <w:gridCol w:w="1742"/>
      </w:tblGrid>
      <w:tr>
        <w:tblPrEx>
          <w:shd w:val="clear" w:color="auto" w:fill="4f81bd"/>
        </w:tblPrEx>
        <w:trPr>
          <w:trHeight w:val="212" w:hRule="atLeast"/>
          <w:tblHeader/>
        </w:trPr>
        <w:tc>
          <w:tcPr>
            <w:tcW w:type="dxa" w:w="1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2e9"/>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b w:val="1"/>
                <w:bCs w:val="1"/>
                <w:sz w:val="18"/>
                <w:szCs w:val="18"/>
                <w:shd w:val="nil" w:color="auto" w:fill="auto"/>
                <w:rtl w:val="0"/>
                <w:lang w:val="en-US"/>
              </w:rPr>
              <w:t>Learning outcomes</w:t>
            </w:r>
          </w:p>
        </w:tc>
        <w:tc>
          <w:tcPr>
            <w:tcW w:type="dxa" w:w="13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2e9"/>
            <w:tcMar>
              <w:top w:type="dxa" w:w="80"/>
              <w:left w:type="dxa" w:w="80"/>
              <w:bottom w:type="dxa" w:w="80"/>
              <w:right w:type="dxa" w:w="80"/>
            </w:tcMar>
            <w:vAlign w:val="top"/>
          </w:tcPr>
          <w:p>
            <w:pPr>
              <w:pStyle w:val="Default"/>
              <w:tabs>
                <w:tab w:val="left" w:pos="720"/>
              </w:tabs>
            </w:pPr>
            <w:r>
              <w:rPr>
                <w:rStyle w:val="None"/>
                <w:rFonts w:ascii="Times New Roman" w:hAnsi="Times New Roman"/>
                <w:b w:val="1"/>
                <w:bCs w:val="1"/>
                <w:sz w:val="18"/>
                <w:szCs w:val="18"/>
                <w:shd w:val="nil" w:color="auto" w:fill="auto"/>
                <w:rtl w:val="0"/>
                <w:lang w:val="en-US"/>
              </w:rPr>
              <w:t>Novice</w:t>
            </w:r>
          </w:p>
        </w:tc>
        <w:tc>
          <w:tcPr>
            <w:tcW w:type="dxa" w:w="14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2e9"/>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b w:val="1"/>
                <w:bCs w:val="1"/>
                <w:sz w:val="18"/>
                <w:szCs w:val="18"/>
                <w:shd w:val="nil" w:color="auto" w:fill="auto"/>
                <w:rtl w:val="0"/>
                <w:lang w:val="en-US"/>
              </w:rPr>
              <w:t>Approaching</w:t>
            </w:r>
          </w:p>
        </w:tc>
        <w:tc>
          <w:tcPr>
            <w:tcW w:type="dxa" w:w="14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2e9"/>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b w:val="1"/>
                <w:bCs w:val="1"/>
                <w:sz w:val="18"/>
                <w:szCs w:val="18"/>
                <w:shd w:val="nil" w:color="auto" w:fill="auto"/>
                <w:rtl w:val="0"/>
                <w:lang w:val="pt-PT"/>
              </w:rPr>
              <w:t>Proficient</w:t>
            </w:r>
          </w:p>
        </w:tc>
        <w:tc>
          <w:tcPr>
            <w:tcW w:type="dxa" w:w="1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2e9"/>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b w:val="1"/>
                <w:bCs w:val="1"/>
                <w:sz w:val="18"/>
                <w:szCs w:val="18"/>
                <w:shd w:val="nil" w:color="auto" w:fill="auto"/>
                <w:rtl w:val="0"/>
                <w:lang w:val="en-US"/>
              </w:rPr>
              <w:t>Advanced</w:t>
            </w:r>
          </w:p>
        </w:tc>
        <w:tc>
          <w:tcPr>
            <w:tcW w:type="dxa" w:w="17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d9d2e9"/>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b w:val="1"/>
                <w:bCs w:val="1"/>
                <w:sz w:val="18"/>
                <w:szCs w:val="18"/>
                <w:shd w:val="nil" w:color="auto" w:fill="auto"/>
                <w:rtl w:val="0"/>
                <w:lang w:val="en-US"/>
              </w:rPr>
              <w:t>Assignment(s)</w:t>
            </w:r>
          </w:p>
        </w:tc>
      </w:tr>
      <w:tr>
        <w:tblPrEx>
          <w:shd w:val="clear" w:color="auto" w:fill="ced7e7"/>
        </w:tblPrEx>
        <w:trPr>
          <w:trHeight w:val="2644" w:hRule="atLeast"/>
        </w:trPr>
        <w:tc>
          <w:tcPr>
            <w:tcW w:type="dxa" w:w="1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1. Recognize the importance of a woman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contribution as a leader, her challenges, and the positive outcomes associated with mutual partnerships between men and women (Knowledge)</w:t>
            </w:r>
          </w:p>
        </w:tc>
        <w:tc>
          <w:tcPr>
            <w:tcW w:type="dxa" w:w="13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s>
            </w:pPr>
            <w:r>
              <w:rPr>
                <w:rStyle w:val="None"/>
                <w:rFonts w:ascii="Times New Roman" w:hAnsi="Times New Roman"/>
                <w:sz w:val="18"/>
                <w:szCs w:val="18"/>
                <w:shd w:val="nil" w:color="auto" w:fill="auto"/>
                <w:rtl w:val="0"/>
                <w:lang w:val="en-US"/>
              </w:rPr>
              <w:t>Shows limited awareness of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contributions to leadership, the challenges they face, and the value of mutual partnership.</w:t>
            </w:r>
          </w:p>
        </w:tc>
        <w:tc>
          <w:tcPr>
            <w:tcW w:type="dxa" w:w="14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Recognizes some (up to 30%) of the contributions and challenges of women leaders, with minimal understanding of the benefits of partnership.</w:t>
            </w:r>
          </w:p>
        </w:tc>
        <w:tc>
          <w:tcPr>
            <w:tcW w:type="dxa" w:w="14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Demonstrates solid recognition (60%) of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 contributions, the challenges they encounter, and the value of mutual partnership.</w:t>
            </w:r>
          </w:p>
        </w:tc>
        <w:tc>
          <w:tcPr>
            <w:tcW w:type="dxa" w:w="1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Demonstrates thorough, well-articulated recognition (80%+) of the significance of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 their challenges, and the outcomes of flourishing partnerships.</w:t>
            </w:r>
          </w:p>
        </w:tc>
        <w:tc>
          <w:tcPr>
            <w:tcW w:type="dxa" w:w="17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Weekly Reading and Reflections; Book Review; Interview assignment</w:t>
            </w:r>
          </w:p>
        </w:tc>
      </w:tr>
      <w:tr>
        <w:tblPrEx>
          <w:shd w:val="clear" w:color="auto" w:fill="ced7e7"/>
        </w:tblPrEx>
        <w:trPr>
          <w:trHeight w:val="2883" w:hRule="atLeast"/>
        </w:trPr>
        <w:tc>
          <w:tcPr>
            <w:tcW w:type="dxa" w:w="1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2. Distinguish the differences behind historical theological views on women and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 (Comprehension)</w:t>
            </w:r>
          </w:p>
        </w:tc>
        <w:tc>
          <w:tcPr>
            <w:tcW w:type="dxa" w:w="13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s>
            </w:pPr>
            <w:r>
              <w:rPr>
                <w:rStyle w:val="None"/>
                <w:rFonts w:ascii="Times New Roman" w:hAnsi="Times New Roman"/>
                <w:sz w:val="18"/>
                <w:szCs w:val="18"/>
                <w:shd w:val="nil" w:color="auto" w:fill="auto"/>
                <w:rtl w:val="0"/>
                <w:lang w:val="en-US"/>
              </w:rPr>
              <w:t>Limited ability to distinguish between historical theological views (e.g., complementarian and egalitarian) on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w:t>
            </w:r>
          </w:p>
        </w:tc>
        <w:tc>
          <w:tcPr>
            <w:tcW w:type="dxa" w:w="14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Identifies some (up to 30%) differences between historical theological perspectives on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 with limited nuance.</w:t>
            </w:r>
          </w:p>
        </w:tc>
        <w:tc>
          <w:tcPr>
            <w:tcW w:type="dxa" w:w="14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Clearly distinguishes (60%) major theological perspectives on women and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 and their historical development.</w:t>
            </w:r>
          </w:p>
        </w:tc>
        <w:tc>
          <w:tcPr>
            <w:tcW w:type="dxa" w:w="1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Thoroughly distinguishes and articulates (80%+) the nuances among historical and contemporary theological views on women</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leadership, supported by scripture and scholarship.</w:t>
            </w:r>
          </w:p>
        </w:tc>
        <w:tc>
          <w:tcPr>
            <w:tcW w:type="dxa" w:w="17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Weekly Readings and Class Meetings</w:t>
            </w:r>
          </w:p>
        </w:tc>
      </w:tr>
      <w:tr>
        <w:tblPrEx>
          <w:shd w:val="clear" w:color="auto" w:fill="ced7e7"/>
        </w:tblPrEx>
        <w:trPr>
          <w:trHeight w:val="2635" w:hRule="atLeast"/>
        </w:trPr>
        <w:tc>
          <w:tcPr>
            <w:tcW w:type="dxa" w:w="1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3. Illuminate limiting personal and social beliefs and practices that encourage sexism and gender stereotypes (Application)</w:t>
            </w:r>
          </w:p>
        </w:tc>
        <w:tc>
          <w:tcPr>
            <w:tcW w:type="dxa" w:w="13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s>
            </w:pPr>
            <w:r>
              <w:rPr>
                <w:rStyle w:val="None"/>
                <w:rFonts w:ascii="Times New Roman" w:hAnsi="Times New Roman"/>
                <w:sz w:val="18"/>
                <w:szCs w:val="18"/>
                <w:shd w:val="nil" w:color="auto" w:fill="auto"/>
                <w:rtl w:val="0"/>
                <w:lang w:val="en-US"/>
              </w:rPr>
              <w:t>Limited ability to identify personal or social beliefs and practices that encourage sexism or gender stereotypes.</w:t>
            </w:r>
          </w:p>
        </w:tc>
        <w:tc>
          <w:tcPr>
            <w:tcW w:type="dxa" w:w="14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Identifies some (30%) limiting beliefs or practices related to sexism and gender bias, with minimal application to personal or social context.</w:t>
            </w:r>
          </w:p>
        </w:tc>
        <w:tc>
          <w:tcPr>
            <w:tcW w:type="dxa" w:w="14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Effectively identifies and examines (60%) personal and social beliefs and practices that reinforce sexism and gender stereotypes.</w:t>
            </w:r>
          </w:p>
        </w:tc>
        <w:tc>
          <w:tcPr>
            <w:tcW w:type="dxa" w:w="1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Critically illuminates and applies (80%+) insight into limiting personal and social beliefs/practices, proposing ways to address sexism/ gender bias in one</w:t>
            </w:r>
            <w:r>
              <w:rPr>
                <w:rStyle w:val="None"/>
                <w:rFonts w:ascii="Arial Unicode MS" w:hAnsi="Arial Unicode MS" w:hint="default"/>
                <w:sz w:val="18"/>
                <w:szCs w:val="18"/>
                <w:shd w:val="nil" w:color="auto" w:fill="auto"/>
                <w:rtl w:val="1"/>
              </w:rPr>
              <w:t>’</w:t>
            </w:r>
            <w:r>
              <w:rPr>
                <w:rStyle w:val="None"/>
                <w:rFonts w:ascii="Times New Roman" w:hAnsi="Times New Roman"/>
                <w:sz w:val="18"/>
                <w:szCs w:val="18"/>
                <w:shd w:val="nil" w:color="auto" w:fill="auto"/>
                <w:rtl w:val="0"/>
                <w:lang w:val="en-US"/>
              </w:rPr>
              <w:t>s own context.</w:t>
            </w:r>
          </w:p>
        </w:tc>
        <w:tc>
          <w:tcPr>
            <w:tcW w:type="dxa" w:w="17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Book Review; Written Reflections</w:t>
            </w:r>
          </w:p>
        </w:tc>
      </w:tr>
      <w:tr>
        <w:tblPrEx>
          <w:shd w:val="clear" w:color="auto" w:fill="ced7e7"/>
        </w:tblPrEx>
        <w:trPr>
          <w:trHeight w:val="2597" w:hRule="atLeast"/>
        </w:trPr>
        <w:tc>
          <w:tcPr>
            <w:tcW w:type="dxa" w:w="1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4. Identify healthy and empowering models and practices for flourishing partnerships between men and women (Synthesis)</w:t>
            </w:r>
          </w:p>
        </w:tc>
        <w:tc>
          <w:tcPr>
            <w:tcW w:type="dxa" w:w="13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s>
            </w:pPr>
            <w:r>
              <w:rPr>
                <w:rStyle w:val="None"/>
                <w:rFonts w:ascii="Times New Roman" w:hAnsi="Times New Roman"/>
                <w:sz w:val="18"/>
                <w:szCs w:val="18"/>
                <w:shd w:val="nil" w:color="auto" w:fill="auto"/>
                <w:rtl w:val="0"/>
                <w:lang w:val="en-US"/>
              </w:rPr>
              <w:t>Limited ability to identify models or practices that support healthy partnerships between men and women.</w:t>
            </w:r>
          </w:p>
        </w:tc>
        <w:tc>
          <w:tcPr>
            <w:tcW w:type="dxa" w:w="14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Identifies some (30%) empowering models or practices for partnership, with limited synthesis of course material.</w:t>
            </w:r>
          </w:p>
        </w:tc>
        <w:tc>
          <w:tcPr>
            <w:tcW w:type="dxa" w:w="14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Synthesizes (60%) course concepts, scripture, and class experience to identify healthy, empowering models and practices for partnership.</w:t>
            </w:r>
          </w:p>
        </w:tc>
        <w:tc>
          <w:tcPr>
            <w:tcW w:type="dxa" w:w="1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Skillfully synthesizes (80%+) scripture, course content, and personal experience to identify and design empowering models for flourishing partnerships.</w:t>
            </w:r>
          </w:p>
        </w:tc>
        <w:tc>
          <w:tcPr>
            <w:tcW w:type="dxa" w:w="17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Weekly Readings and Reflections; Class Meetings</w:t>
            </w:r>
          </w:p>
        </w:tc>
      </w:tr>
      <w:tr>
        <w:tblPrEx>
          <w:shd w:val="clear" w:color="auto" w:fill="ced7e7"/>
        </w:tblPrEx>
        <w:trPr>
          <w:trHeight w:val="2120" w:hRule="atLeast"/>
        </w:trPr>
        <w:tc>
          <w:tcPr>
            <w:tcW w:type="dxa" w:w="174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5. Evaluate practical steps to support the flourishing of women leaders within the church and broader society (Evaluation)</w:t>
            </w:r>
          </w:p>
        </w:tc>
        <w:tc>
          <w:tcPr>
            <w:tcW w:type="dxa" w:w="135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s>
            </w:pPr>
            <w:r>
              <w:rPr>
                <w:rStyle w:val="None"/>
                <w:rFonts w:ascii="Times New Roman" w:hAnsi="Times New Roman"/>
                <w:sz w:val="18"/>
                <w:szCs w:val="18"/>
                <w:shd w:val="nil" w:color="auto" w:fill="auto"/>
                <w:rtl w:val="0"/>
                <w:lang w:val="en-US"/>
              </w:rPr>
              <w:t>Limited ability to evaluate practical steps that support the flourishing of women leaders within the church or society.</w:t>
            </w:r>
          </w:p>
        </w:tc>
        <w:tc>
          <w:tcPr>
            <w:tcW w:type="dxa" w:w="1448"/>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Evaluates some (30%) practical steps to support women leaders, with minimal depth of analysis.</w:t>
            </w:r>
          </w:p>
        </w:tc>
        <w:tc>
          <w:tcPr>
            <w:tcW w:type="dxa" w:w="1469"/>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Evaluates and articulates (60%) meaningful, practical steps that churches and organizations can take to support flourishing women leaders.</w:t>
            </w:r>
          </w:p>
        </w:tc>
        <w:tc>
          <w:tcPr>
            <w:tcW w:type="dxa" w:w="159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Critically evaluates and proposes (80%+) well-reasoned, actionable steps for supporting women leaders, grounded in course readings, scripture, and reflection.</w:t>
            </w:r>
          </w:p>
        </w:tc>
        <w:tc>
          <w:tcPr>
            <w:tcW w:type="dxa" w:w="17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Default"/>
              <w:tabs>
                <w:tab w:val="left" w:pos="720"/>
                <w:tab w:val="left" w:pos="1440"/>
              </w:tabs>
            </w:pPr>
            <w:r>
              <w:rPr>
                <w:rStyle w:val="None"/>
                <w:rFonts w:ascii="Times New Roman" w:hAnsi="Times New Roman"/>
                <w:sz w:val="18"/>
                <w:szCs w:val="18"/>
                <w:shd w:val="nil" w:color="auto" w:fill="auto"/>
                <w:rtl w:val="0"/>
                <w:lang w:val="en-US"/>
              </w:rPr>
              <w:t>Weekly Readings and Reflections; Book Review; Class Meetings; Interview assignment</w:t>
            </w:r>
          </w:p>
        </w:tc>
      </w:tr>
    </w:tbl>
    <w:p>
      <w:pPr>
        <w:pStyle w:val="Heading 2"/>
        <w:widowControl w:val="0"/>
        <w:spacing w:before="200" w:after="120"/>
        <w:ind w:left="108" w:hanging="108"/>
      </w:pPr>
    </w:p>
    <w:p>
      <w:pPr>
        <w:pStyle w:val="Heading 2"/>
        <w:widowControl w:val="0"/>
        <w:spacing w:before="200" w:after="120"/>
      </w:pPr>
    </w:p>
    <w:p>
      <w:pPr>
        <w:pStyle w:val="Heading 2"/>
        <w:spacing w:before="200" w:after="120"/>
      </w:pPr>
    </w:p>
    <w:p>
      <w:pPr>
        <w:pStyle w:val="Heading 2"/>
        <w:spacing w:before="200" w:after="120"/>
        <w:rPr>
          <w:lang w:val="fr-FR"/>
        </w:rPr>
      </w:pPr>
      <w:r>
        <w:rPr>
          <w:rStyle w:val="None"/>
          <w:b w:val="1"/>
          <w:bCs w:val="1"/>
          <w:rtl w:val="0"/>
          <w:lang w:val="fr-FR"/>
        </w:rPr>
        <w:t>Bibliography</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Annis, Barbara, and Keith Merron. Gender Intelligence: Breakthrough Strategies for Increasing Diversity and Improving Your Bottom Line. HarperBusiness, 2014.</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Barr, Beth Allison. The Making of Biblical Womanhood: How the Subjugation of Women Became Gospel Truth. Brazos Press, 2021.</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Byrd, Aimee. Recovering from Biblical Manhood and Womanhood: How the Church Needs to Rediscover Her Purpose. Zondervan Reflective, 2020.</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Byrd, Aimee. Saving Face: Finding My Self, God, and One Another Outside a Defaced Church. Zondervan, 2025.</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Cole, Kadi. Developing Female Leaders: Navigate the Minefields and Release the Potential of Women in Your Church. Thomas Nelson, 2019.</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Dixon, Rob. Together in Ministry: Women and Men in Flourishing Partnerships. InterVarsity Press, 2021.</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Gafney, Wilda C. Womanist Midrash: A Reintroduction to the Women of the Torah and the Throne. Westminster John Knox Press, 2017.</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Glahn, Sandra L., ed. Vindicating the Vixens: Revisiting Sexualized, Vilified, and Marginalized Women of the Bible. Kregel Academic, 2017.</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Gupta, Nijay K. Tell Her Story: How Women Led, Taught, and Ministered in the Early Church. IVP Academic, 2023.</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Howell, Susan Harris. Buried Talents: Overcoming Gendered Socialization to Answer God's Call. IVP Academic, 2022.</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Lesser, Elizabeth. Cassandra Speaks: When Women Are the Storytellers, the Human Story Changes. Harper Wave, 2020.</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Mathews, Alice P. Gender Roles and the People of God: Rethinking What We Were Taught About Men and Women in the Church. Zondervan, 2017.</w:t>
      </w:r>
    </w:p>
    <w:p>
      <w:pPr>
        <w:pStyle w:val="Heading 2"/>
        <w:spacing w:before="200" w:after="120"/>
        <w:rPr>
          <w:rStyle w:val="None"/>
          <w:sz w:val="24"/>
          <w:szCs w:val="24"/>
        </w:rPr>
      </w:pPr>
      <w:r>
        <w:rPr>
          <w:rStyle w:val="None"/>
          <w:outline w:val="0"/>
          <w:color w:val="000000"/>
          <w:sz w:val="24"/>
          <w:szCs w:val="24"/>
          <w:u w:color="000000"/>
          <w:rtl w:val="0"/>
          <w:lang w:val="en-US"/>
          <w14:textFill>
            <w14:solidFill>
              <w14:srgbClr w14:val="000000"/>
            </w14:solidFill>
          </w14:textFill>
        </w:rPr>
        <w:t>Pierce, Ronald W., Cynthia Long Westfall, and Christa L. McKirland, eds. Discovering Biblical Equality: Complementarity Without Hierarchy. 3rd ed., IVP Academic, 2021.</w:t>
      </w:r>
    </w:p>
    <w:p>
      <w:pPr>
        <w:pStyle w:val="Heading 2"/>
        <w:spacing w:before="200" w:after="120"/>
      </w:pPr>
      <w:r>
        <w:rPr>
          <w:rStyle w:val="None"/>
          <w:outline w:val="0"/>
          <w:color w:val="000000"/>
          <w:sz w:val="24"/>
          <w:szCs w:val="24"/>
          <w:u w:color="000000"/>
          <w:rtl w:val="0"/>
          <w:lang w:val="en-US"/>
          <w14:textFill>
            <w14:solidFill>
              <w14:srgbClr w14:val="000000"/>
            </w14:solidFill>
          </w14:textFill>
        </w:rPr>
        <w:t>Sprinkle, Preston. From Genesis to Junia: An Honest Search for What the Bible Really Says About Women in Leadership. David C. Cook, 2026.</w:t>
      </w:r>
    </w:p>
    <w:sectPr>
      <w:headerReference w:type="default" r:id="rId4"/>
      <w:footerReference w:type="default" r:id="rId5"/>
      <w:pgSz w:w="12240" w:h="15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151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23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95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
      <w:lvlJc w:val="left"/>
      <w:pPr>
        <w:ind w:left="367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9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11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
      <w:lvlJc w:val="left"/>
      <w:pPr>
        <w:ind w:left="583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552" w:hanging="432"/>
      </w:pPr>
      <w:rPr>
        <w:rFonts w:ascii="Times New Roman" w:cs="Times New Roman" w:hAnsi="Times New Roman" w:eastAsia="Times New Roman"/>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None">
    <w:name w:val="None"/>
  </w:style>
  <w:style w:type="character" w:styleId="Hyperlink.0">
    <w:name w:val="Hyperlink.0"/>
    <w:basedOn w:val="None"/>
    <w:next w:val="Hyperlink.0"/>
    <w:rPr>
      <w:rFonts w:ascii="Times New Roman" w:cs="Times New Roman" w:hAnsi="Times New Roman" w:eastAsia="Times New Roman"/>
      <w:outline w:val="0"/>
      <w:color w:val="0563c1"/>
      <w:sz w:val="24"/>
      <w:szCs w:val="24"/>
      <w:u w:val="single" w:color="0563c1"/>
      <w14:textFill>
        <w14:solidFill>
          <w14:srgbClr w14:val="0563C1"/>
        </w14:solidFill>
      </w14:textFill>
    </w:rPr>
  </w:style>
  <w:style w:type="paragraph" w:styleId="Heading 2">
    <w:name w:val="Heading 2"/>
    <w:next w:val="Heading 2"/>
    <w:pPr>
      <w:keepNext w:val="0"/>
      <w:keepLines w:val="0"/>
      <w:pageBreakBefore w:val="0"/>
      <w:widowControl w:val="1"/>
      <w:shd w:val="clear" w:color="auto" w:fill="auto"/>
      <w:suppressAutoHyphens w:val="0"/>
      <w:bidi w:val="0"/>
      <w:spacing w:before="0" w:after="0" w:line="240" w:lineRule="auto"/>
      <w:ind w:left="0" w:right="0" w:firstLine="0"/>
      <w:jc w:val="left"/>
      <w:outlineLvl w:val="0"/>
    </w:pPr>
    <w:rPr>
      <w:rFonts w:ascii="Times New Roman" w:cs="Arial Unicode MS" w:hAnsi="Times New Roman" w:eastAsia="Arial Unicode MS"/>
      <w:b w:val="0"/>
      <w:bCs w:val="0"/>
      <w:i w:val="0"/>
      <w:iCs w:val="0"/>
      <w:caps w:val="0"/>
      <w:smallCaps w:val="0"/>
      <w:strike w:val="0"/>
      <w:dstrike w:val="0"/>
      <w:outline w:val="0"/>
      <w:color w:val="2e74b5"/>
      <w:spacing w:val="0"/>
      <w:kern w:val="0"/>
      <w:position w:val="0"/>
      <w:sz w:val="26"/>
      <w:szCs w:val="26"/>
      <w:u w:val="none" w:color="2e74b5"/>
      <w:shd w:val="nil" w:color="auto" w:fill="auto"/>
      <w:vertAlign w:val="baseline"/>
      <w:lang w:val="en-US"/>
      <w14:textOutline w14:w="12700" w14:cap="flat">
        <w14:noFill/>
        <w14:miter w14:lim="400000"/>
      </w14:textOutline>
      <w14:textFill>
        <w14:solidFill>
          <w14:srgbClr w14:val="2E74B5"/>
        </w14:solidFill>
      </w14:textFill>
    </w:rPr>
  </w:style>
  <w:style w:type="paragraph" w:styleId="List Paragraph">
    <w:name w:val="List Paragraph"/>
    <w:next w:val="List Paragraph"/>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shd w:val="nil" w:color="auto" w:fill="auto"/>
      <w:vertAlign w:val="baseline"/>
      <w:lang w:val="en-US"/>
      <w14:textFill>
        <w14:solidFill>
          <w14:srgbClr w14:val="000000"/>
        </w14:solidFill>
      </w14:textFill>
    </w:rPr>
  </w:style>
  <w:style w:type="numbering" w:styleId="Imported Style 1">
    <w:name w:val="Imported Style 1"/>
    <w:pPr>
      <w:numPr>
        <w:numId w:val="1"/>
      </w:numPr>
    </w:pPr>
  </w:style>
  <w:style w:type="character" w:styleId="Hyperlink.1">
    <w:name w:val="Hyperlink.1"/>
    <w:basedOn w:val="None"/>
    <w:next w:val="Hyperlink.1"/>
    <w:rPr>
      <w:outline w:val="0"/>
      <w:color w:val="0563c1"/>
      <w:sz w:val="24"/>
      <w:szCs w:val="24"/>
      <w:u w:val="single" w:color="0563c1"/>
      <w14:textFill>
        <w14:solidFill>
          <w14:srgbClr w14:val="0563C1"/>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lang w:val="en-US"/>
      <w14:textOutline w14:w="12700" w14:cap="flat">
        <w14:noFill/>
        <w14:miter w14:lim="400000"/>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